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7E16B" w14:textId="50E84DD6"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r w:rsidR="00B63CEC" w:rsidRPr="00B63CEC">
        <w:rPr>
          <w:rFonts w:ascii="Arial" w:hAnsi="Arial" w:cs="Arial"/>
          <w:b/>
          <w:bCs/>
          <w:i/>
          <w:sz w:val="28"/>
          <w:szCs w:val="24"/>
        </w:rPr>
        <w:t>S2-</w:t>
      </w:r>
      <w:r w:rsidR="00217A24" w:rsidRPr="00B63CEC">
        <w:rPr>
          <w:rFonts w:ascii="Arial" w:hAnsi="Arial" w:cs="Arial"/>
          <w:b/>
          <w:bCs/>
          <w:i/>
          <w:sz w:val="28"/>
          <w:szCs w:val="24"/>
        </w:rPr>
        <w:t>240</w:t>
      </w:r>
      <w:r w:rsidR="00217A24">
        <w:rPr>
          <w:rFonts w:ascii="Arial" w:hAnsi="Arial" w:cs="Arial"/>
          <w:b/>
          <w:bCs/>
          <w:i/>
          <w:sz w:val="28"/>
          <w:szCs w:val="24"/>
        </w:rPr>
        <w:t>3025</w:t>
      </w:r>
    </w:p>
    <w:p w14:paraId="008F97D9" w14:textId="77777777" w:rsidR="00463675" w:rsidRPr="000F4E43" w:rsidRDefault="00F30C65"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0"/>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77777777" w:rsidR="00463675" w:rsidRPr="000F4E43" w:rsidRDefault="00463675" w:rsidP="000F4E43">
      <w:pPr>
        <w:pStyle w:val="ac"/>
      </w:pPr>
      <w:r w:rsidRPr="000F4E43">
        <w:t>Title:</w:t>
      </w:r>
      <w:r w:rsidRPr="000F4E43">
        <w:tab/>
      </w:r>
      <w:r w:rsidRPr="000F4E43">
        <w:rPr>
          <w:color w:val="FF0000"/>
        </w:rPr>
        <w:t xml:space="preserve">[DRAFT] </w:t>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ac"/>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ac"/>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ac"/>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77777777" w:rsidR="00463675" w:rsidRPr="00B63CEC" w:rsidRDefault="00463675" w:rsidP="000F4E43">
      <w:pPr>
        <w:pStyle w:val="Source"/>
      </w:pPr>
      <w:r w:rsidRPr="00B63CEC">
        <w:t>Source:</w:t>
      </w:r>
      <w:r w:rsidRPr="00B63CEC">
        <w:tab/>
      </w:r>
      <w:r w:rsidR="0000385D" w:rsidRPr="00B63CEC">
        <w:rPr>
          <w:b w:val="0"/>
          <w:color w:val="FF0000"/>
        </w:rPr>
        <w:t>[Huawei to be]</w:t>
      </w:r>
      <w:r w:rsidR="000534DD" w:rsidRPr="00B63CEC">
        <w:rPr>
          <w:b w:val="0"/>
          <w:color w:val="FF0000"/>
        </w:rPr>
        <w:t xml:space="preserve"> </w:t>
      </w:r>
      <w:r w:rsidR="00C55D6B" w:rsidRPr="00B63CEC">
        <w:rPr>
          <w:b w:val="0"/>
        </w:rPr>
        <w:t>SA</w:t>
      </w:r>
      <w:r w:rsidR="00C831C8" w:rsidRPr="00B63CEC">
        <w:rPr>
          <w:b w:val="0"/>
        </w:rPr>
        <w:t>2</w:t>
      </w:r>
    </w:p>
    <w:p w14:paraId="75ED0EEF" w14:textId="21BA0D2D" w:rsidR="00463675" w:rsidRPr="00B63CEC" w:rsidRDefault="00463675" w:rsidP="000F4E43">
      <w:pPr>
        <w:pStyle w:val="Source"/>
      </w:pPr>
      <w:r w:rsidRPr="00B63CEC">
        <w:t>To:</w:t>
      </w:r>
      <w:r w:rsidRPr="00B63CEC">
        <w:tab/>
      </w:r>
      <w:r w:rsidR="00D7054C" w:rsidRPr="00B63CEC">
        <w:rPr>
          <w:b w:val="0"/>
        </w:rPr>
        <w:t>CT3</w:t>
      </w:r>
      <w:r w:rsidR="00891655">
        <w:rPr>
          <w:b w:val="0"/>
        </w:rPr>
        <w:t xml:space="preserve">, </w:t>
      </w:r>
      <w:r w:rsidR="00CF3505" w:rsidRPr="009360C4">
        <w:rPr>
          <w:b w:val="0"/>
          <w:highlight w:val="yellow"/>
        </w:rPr>
        <w:t>SA</w:t>
      </w:r>
      <w:r w:rsidR="0092186A" w:rsidRPr="009360C4">
        <w:rPr>
          <w:b w:val="0"/>
          <w:highlight w:val="yellow"/>
        </w:rPr>
        <w:t>3</w:t>
      </w:r>
    </w:p>
    <w:p w14:paraId="2262DBCA" w14:textId="2328F08C" w:rsidR="00463675" w:rsidRPr="00B63CEC" w:rsidRDefault="00463675" w:rsidP="000F4E43">
      <w:pPr>
        <w:pStyle w:val="Source"/>
      </w:pPr>
      <w:r w:rsidRPr="00B63CEC">
        <w:t>Cc:</w:t>
      </w:r>
      <w:r w:rsidRPr="00B63CEC">
        <w:tab/>
      </w:r>
      <w:r w:rsidR="00F07C21" w:rsidRPr="009360C4">
        <w:rPr>
          <w:b w:val="0"/>
        </w:rPr>
        <w:t xml:space="preserve">SA6, </w:t>
      </w:r>
      <w:r w:rsidR="00D7054C" w:rsidRPr="009360C4">
        <w:rPr>
          <w:b w:val="0"/>
        </w:rPr>
        <w:t>CT1, CT4</w:t>
      </w:r>
      <w:r w:rsidR="00E352F7" w:rsidRPr="009360C4">
        <w:rPr>
          <w:b w:val="0"/>
        </w:rPr>
        <w:t>,</w:t>
      </w:r>
      <w:r w:rsidR="00CF3505" w:rsidRPr="009360C4">
        <w:rPr>
          <w:b w:val="0"/>
        </w:rPr>
        <w:t xml:space="preserve"> </w:t>
      </w:r>
    </w:p>
    <w:p w14:paraId="45969CB0" w14:textId="77777777" w:rsidR="00463675" w:rsidRPr="00B63CEC" w:rsidRDefault="00463675">
      <w:pPr>
        <w:spacing w:after="60"/>
        <w:ind w:left="1985" w:hanging="1985"/>
        <w:rPr>
          <w:rFonts w:ascii="Arial" w:hAnsi="Arial" w:cs="Arial"/>
          <w:bCs/>
        </w:rPr>
      </w:pPr>
    </w:p>
    <w:p w14:paraId="3E05F0A4" w14:textId="77777777"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ab"/>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ac"/>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a3"/>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a3"/>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a3"/>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77777777" w:rsidR="00616973" w:rsidRDefault="00222C26" w:rsidP="009360C4">
      <w:pPr>
        <w:pStyle w:val="B1"/>
        <w:ind w:left="0" w:firstLine="0"/>
        <w:jc w:val="left"/>
        <w:rPr>
          <w:rFonts w:cs="Arial"/>
          <w:lang w:eastAsia="zh-CN"/>
        </w:rPr>
      </w:pPr>
      <w:r w:rsidRPr="009360C4">
        <w:rPr>
          <w:rFonts w:cs="Arial"/>
          <w:highlight w:val="yellow"/>
          <w:lang w:eastAsia="zh-CN"/>
        </w:rPr>
        <w:t>TS 23.288, Clause 6.1.1.2 contains procedures for Analytics subscription by AFs via NEF, and Clause 6.1.2.2 contains procedures for Analytics request by AFs via NEF.</w:t>
      </w:r>
      <w:r>
        <w:rPr>
          <w:rFonts w:cs="Arial"/>
          <w:lang w:eastAsia="zh-CN"/>
        </w:rPr>
        <w:t xml:space="preserve"> </w:t>
      </w:r>
      <w:r w:rsidR="00616973">
        <w:rPr>
          <w:rFonts w:cs="Arial"/>
          <w:highlight w:val="cyan"/>
          <w:lang w:eastAsia="zh-CN"/>
        </w:rPr>
        <w:t>According to those procedures, the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35AEA984" w14:textId="65A7BB75" w:rsidR="00891655" w:rsidRDefault="00B63CEC" w:rsidP="009360C4">
      <w:pPr>
        <w:pStyle w:val="B1"/>
        <w:ind w:left="0" w:firstLine="0"/>
        <w:jc w:val="left"/>
        <w:rPr>
          <w:i/>
          <w:iCs/>
        </w:rPr>
      </w:pPr>
      <w:r>
        <w:rPr>
          <w:rFonts w:cs="Arial"/>
          <w:lang w:eastAsia="zh-CN"/>
        </w:rPr>
        <w:t>T</w:t>
      </w:r>
      <w:r w:rsidR="00D7054C" w:rsidRPr="00B63CEC">
        <w:rPr>
          <w:rFonts w:cs="Arial"/>
          <w:lang w:eastAsia="zh-CN"/>
        </w:rPr>
        <w:t>he output of Network Slice load statistics</w:t>
      </w:r>
      <w:r w:rsidR="00287C1F" w:rsidRPr="00B63CEC">
        <w:rPr>
          <w:rFonts w:cs="Arial"/>
          <w:lang w:eastAsia="zh-CN"/>
        </w:rPr>
        <w:t>/prediction</w:t>
      </w:r>
      <w:r w:rsidR="00D7054C" w:rsidRPr="00B63CEC">
        <w:rPr>
          <w:rFonts w:cs="Arial"/>
          <w:lang w:eastAsia="zh-CN"/>
        </w:rPr>
        <w:t xml:space="preserve"> </w:t>
      </w:r>
      <w:r w:rsidR="00287C1F" w:rsidRPr="00B63CEC">
        <w:rPr>
          <w:rFonts w:cs="Arial"/>
          <w:lang w:eastAsia="zh-CN"/>
        </w:rPr>
        <w:t>a</w:t>
      </w:r>
      <w:r w:rsidR="00D7054C" w:rsidRPr="00B63CEC">
        <w:rPr>
          <w:rFonts w:cs="Arial"/>
          <w:lang w:eastAsia="zh-CN"/>
        </w:rPr>
        <w:t>s described in Table 6.3.3A-2</w:t>
      </w:r>
      <w:r w:rsidR="00287C1F" w:rsidRPr="00B63CEC">
        <w:rPr>
          <w:rFonts w:cs="Arial"/>
          <w:lang w:eastAsia="zh-CN"/>
        </w:rPr>
        <w:t xml:space="preserve"> and Table 6.3.3A-4</w:t>
      </w:r>
      <w:r w:rsidR="00D7054C" w:rsidRPr="00B63CEC">
        <w:rPr>
          <w:rFonts w:cs="Arial"/>
          <w:lang w:eastAsia="zh-CN"/>
        </w:rPr>
        <w:t xml:space="preserve"> of TS 23.288</w:t>
      </w:r>
      <w:r w:rsidR="00287C1F" w:rsidRPr="00B63CEC">
        <w:rPr>
          <w:rFonts w:cs="Arial"/>
          <w:lang w:eastAsia="zh-CN"/>
        </w:rPr>
        <w:t xml:space="preserve"> can be exposed</w:t>
      </w:r>
      <w:r w:rsidR="00891655">
        <w:rPr>
          <w:rFonts w:cs="Arial"/>
          <w:lang w:eastAsia="zh-CN"/>
        </w:rPr>
        <w:t xml:space="preserve">, </w:t>
      </w:r>
      <w:r w:rsidR="00891655" w:rsidRPr="009360C4">
        <w:rPr>
          <w:rFonts w:cs="Arial"/>
          <w:highlight w:val="yellow"/>
          <w:lang w:eastAsia="zh-CN"/>
        </w:rPr>
        <w:t>although it was not exposed to the AF, and the attached CR fixed it</w:t>
      </w:r>
      <w:r w:rsidR="00D7054C" w:rsidRPr="009360C4">
        <w:rPr>
          <w:rFonts w:cs="Arial"/>
          <w:highlight w:val="yellow"/>
          <w:lang w:eastAsia="zh-CN"/>
        </w:rPr>
        <w:t>.</w:t>
      </w:r>
      <w:r w:rsidR="00287C1F" w:rsidRPr="00B63CEC">
        <w:rPr>
          <w:rFonts w:cs="Arial"/>
          <w:lang w:eastAsia="zh-CN"/>
        </w:rPr>
        <w:t xml:space="preserve"> </w:t>
      </w:r>
      <w:r w:rsidR="00891655" w:rsidRPr="009360C4">
        <w:rPr>
          <w:rFonts w:cs="Arial"/>
          <w:highlight w:val="yellow"/>
          <w:lang w:eastAsia="zh-CN"/>
        </w:rPr>
        <w:t>Note that</w:t>
      </w:r>
      <w:r w:rsidR="00891655" w:rsidRPr="00B63CEC">
        <w:rPr>
          <w:rFonts w:cs="Arial"/>
          <w:lang w:eastAsia="zh-CN"/>
        </w:rPr>
        <w:t xml:space="preserve"> </w:t>
      </w:r>
      <w:r w:rsidR="00287C1F" w:rsidRPr="00B63CEC">
        <w:rPr>
          <w:rFonts w:cs="Arial"/>
          <w:lang w:eastAsia="zh-CN"/>
        </w:rPr>
        <w:t>Network Slice Instance load statistics/prediction as described in Table 6.3.3A-1 and Table 6.3.3A-3 of TS 23.288 should not be exposed as Network Slice instance is within 5GC and it is assumed external AF</w:t>
      </w:r>
      <w:r w:rsidR="00222C26">
        <w:rPr>
          <w:rFonts w:cs="Arial"/>
          <w:lang w:eastAsia="zh-CN"/>
        </w:rPr>
        <w:t xml:space="preserve"> </w:t>
      </w:r>
      <w:r w:rsidR="00222C26" w:rsidRPr="009360C4">
        <w:rPr>
          <w:rFonts w:cs="Arial"/>
          <w:highlight w:val="yellow"/>
          <w:lang w:eastAsia="zh-CN"/>
        </w:rPr>
        <w:t>or NEF</w:t>
      </w:r>
      <w:r w:rsidR="00287C1F" w:rsidRPr="00B63CEC">
        <w:rPr>
          <w:rFonts w:cs="Arial"/>
          <w:lang w:eastAsia="zh-CN"/>
        </w:rPr>
        <w:t xml:space="preserve"> is not aware of Network Slice Instance.</w:t>
      </w:r>
      <w:r w:rsidR="00D7054C" w:rsidRPr="00B63CEC">
        <w:rPr>
          <w:rFonts w:cs="Arial"/>
          <w:lang w:eastAsia="zh-CN"/>
        </w:rPr>
        <w:t xml:space="preserve"> </w:t>
      </w:r>
      <w:r w:rsidR="00E352F7" w:rsidRPr="009360C4">
        <w:rPr>
          <w:rFonts w:cs="Arial"/>
          <w:highlight w:val="yellow"/>
          <w:lang w:eastAsia="zh-CN"/>
        </w:rPr>
        <w:t>Besides, as described in TS 33.501</w:t>
      </w:r>
      <w:r w:rsidR="00217A24" w:rsidRPr="009360C4">
        <w:rPr>
          <w:rFonts w:cs="Arial"/>
          <w:highlight w:val="yellow"/>
          <w:lang w:eastAsia="zh-CN"/>
        </w:rPr>
        <w:t xml:space="preserve"> clause 5.9.2.3</w:t>
      </w:r>
      <w:r w:rsidR="00E352F7" w:rsidRPr="009360C4">
        <w:rPr>
          <w:rFonts w:cs="Arial"/>
          <w:highlight w:val="yellow"/>
          <w:lang w:eastAsia="zh-CN"/>
        </w:rPr>
        <w:t xml:space="preserve">, NEF </w:t>
      </w:r>
      <w:r w:rsidR="00891655" w:rsidRPr="009360C4">
        <w:rPr>
          <w:rFonts w:cs="Arial"/>
          <w:highlight w:val="yellow"/>
          <w:lang w:eastAsia="zh-CN"/>
        </w:rPr>
        <w:t>and the AF shall fulfil the security requirements that include that “</w:t>
      </w:r>
      <w:r w:rsidR="00891655" w:rsidRPr="009360C4">
        <w:rPr>
          <w:highlight w:val="yellow"/>
        </w:rPr>
        <w:t>Internal 5G Core information such as DNN, S-NSSAI etc., shall not be sent outside the 3GPP operator domain.”</w:t>
      </w:r>
      <w:r w:rsidR="00616973" w:rsidRPr="00616973">
        <w:rPr>
          <w:rFonts w:cs="Arial"/>
          <w:highlight w:val="cyan"/>
          <w:lang w:eastAsia="zh-CN"/>
        </w:rPr>
        <w:t xml:space="preserve"> </w:t>
      </w:r>
      <w:r w:rsidR="00616973">
        <w:rPr>
          <w:rFonts w:cs="Arial"/>
          <w:highlight w:val="cyan"/>
          <w:lang w:eastAsia="zh-CN"/>
        </w:rPr>
        <w:t xml:space="preserve">But there is no agreement in SA2 whether a possible </w:t>
      </w:r>
      <w:r w:rsidR="00616973">
        <w:rPr>
          <w:highlight w:val="cyan"/>
        </w:rPr>
        <w:t>associated NSI ID in Load Level Analytics/predictions can be exposed or not to a trusted AF or an NEF</w:t>
      </w:r>
      <w:r w:rsidR="00616973">
        <w:t>.</w:t>
      </w:r>
      <w:bookmarkStart w:id="1" w:name="_GoBack"/>
      <w:bookmarkEnd w:id="1"/>
    </w:p>
    <w:p w14:paraId="78126B6E" w14:textId="11D1A602" w:rsidR="00891655" w:rsidRPr="00891655" w:rsidRDefault="00891655">
      <w:pPr>
        <w:pStyle w:val="a3"/>
        <w:tabs>
          <w:tab w:val="clear" w:pos="4153"/>
          <w:tab w:val="clear" w:pos="8306"/>
        </w:tabs>
        <w:rPr>
          <w:rFonts w:ascii="Arial" w:hAnsi="Arial" w:cs="Arial"/>
          <w:lang w:eastAsia="zh-CN"/>
        </w:rPr>
      </w:pPr>
    </w:p>
    <w:p w14:paraId="06E43591" w14:textId="77777777" w:rsidR="00E352F7" w:rsidRDefault="00E352F7">
      <w:pPr>
        <w:pStyle w:val="a3"/>
        <w:tabs>
          <w:tab w:val="clear" w:pos="4153"/>
          <w:tab w:val="clear" w:pos="8306"/>
        </w:tabs>
        <w:rPr>
          <w:rFonts w:ascii="Arial" w:hAnsi="Arial" w:cs="Arial"/>
          <w:lang w:eastAsia="zh-CN"/>
        </w:rPr>
      </w:pPr>
    </w:p>
    <w:p w14:paraId="7BE7BEBC" w14:textId="77777777" w:rsidR="00D7054C" w:rsidRDefault="00D7054C">
      <w:pPr>
        <w:pStyle w:val="a3"/>
        <w:tabs>
          <w:tab w:val="clear" w:pos="4153"/>
          <w:tab w:val="clear" w:pos="8306"/>
        </w:tabs>
        <w:rPr>
          <w:rFonts w:ascii="Arial" w:hAnsi="Arial" w:cs="Arial"/>
          <w:lang w:eastAsia="zh-CN"/>
        </w:rPr>
      </w:pPr>
      <w:r w:rsidRPr="00B63CEC">
        <w:rPr>
          <w:rFonts w:ascii="Arial" w:hAnsi="Arial" w:cs="Arial"/>
          <w:lang w:eastAsia="zh-CN"/>
        </w:rPr>
        <w:lastRenderedPageBreak/>
        <w:t xml:space="preserve">Please </w:t>
      </w:r>
      <w:r w:rsidR="00287C1F" w:rsidRPr="00B63CEC">
        <w:rPr>
          <w:rFonts w:ascii="Arial" w:hAnsi="Arial" w:cs="Arial"/>
          <w:lang w:eastAsia="zh-CN"/>
        </w:rPr>
        <w:t xml:space="preserve">also </w:t>
      </w:r>
      <w:r w:rsidRPr="00B63CEC">
        <w:rPr>
          <w:rFonts w:ascii="Arial" w:hAnsi="Arial" w:cs="Arial"/>
          <w:lang w:eastAsia="zh-CN"/>
        </w:rPr>
        <w:t xml:space="preserve">note Area of Interest is not part of output </w:t>
      </w:r>
      <w:r w:rsidR="009F5E5E" w:rsidRPr="00B63CEC">
        <w:rPr>
          <w:rFonts w:ascii="Arial" w:hAnsi="Arial" w:cs="Arial"/>
          <w:lang w:eastAsia="zh-CN"/>
        </w:rPr>
        <w:t>b</w:t>
      </w:r>
      <w:r w:rsidRPr="00B63CEC">
        <w:rPr>
          <w:rFonts w:ascii="Arial" w:hAnsi="Arial" w:cs="Arial"/>
          <w:lang w:eastAsia="zh-CN"/>
        </w:rPr>
        <w:t xml:space="preserve">ut it should be included in the subscription to the Analytic “Load level information” as Analytics Filter Information.  Besides, SA2 has updated TS 23.288 to add AF </w:t>
      </w:r>
      <w:r w:rsidR="00B63CEC">
        <w:rPr>
          <w:rFonts w:ascii="Arial" w:hAnsi="Arial" w:cs="Arial"/>
          <w:lang w:eastAsia="zh-CN"/>
        </w:rPr>
        <w:t>(</w:t>
      </w:r>
      <w:r w:rsidRPr="00B63CEC">
        <w:rPr>
          <w:rFonts w:ascii="Arial" w:hAnsi="Arial" w:cs="Arial"/>
          <w:lang w:eastAsia="zh-CN"/>
        </w:rPr>
        <w:t>NSCE server</w:t>
      </w:r>
      <w:r w:rsidR="00B63CEC">
        <w:rPr>
          <w:rFonts w:ascii="Arial" w:hAnsi="Arial" w:cs="Arial"/>
          <w:lang w:eastAsia="zh-CN"/>
        </w:rPr>
        <w:t>)</w:t>
      </w:r>
      <w:r w:rsidRPr="00B63CEC">
        <w:rPr>
          <w:rFonts w:ascii="Arial" w:hAnsi="Arial" w:cs="Arial"/>
          <w:lang w:eastAsia="zh-CN"/>
        </w:rPr>
        <w:t xml:space="preserve"> in the consumer NF as attached and clarify Area of Interest can be </w:t>
      </w:r>
      <w:r w:rsidRPr="00B63CEC">
        <w:rPr>
          <w:rFonts w:ascii="Arial" w:hAnsi="Arial" w:cs="Arial"/>
        </w:rPr>
        <w:t>list of TA</w:t>
      </w:r>
      <w:r w:rsidR="00E352F7" w:rsidRPr="009360C4">
        <w:rPr>
          <w:rFonts w:ascii="Arial" w:hAnsi="Arial" w:cs="Arial"/>
          <w:highlight w:val="yellow"/>
        </w:rPr>
        <w:t>s</w:t>
      </w:r>
      <w:r w:rsidRPr="00B63CEC">
        <w:rPr>
          <w:rFonts w:ascii="Arial" w:hAnsi="Arial" w:cs="Arial"/>
        </w:rPr>
        <w:t xml:space="preserve"> or Cells</w:t>
      </w:r>
      <w:r w:rsidRPr="00B63CEC">
        <w:rPr>
          <w:rFonts w:ascii="Arial" w:hAnsi="Arial" w:cs="Arial"/>
          <w:lang w:eastAsia="zh-CN"/>
        </w:rPr>
        <w:t>.</w:t>
      </w:r>
      <w:r w:rsidR="00222C26">
        <w:rPr>
          <w:rFonts w:ascii="Arial" w:hAnsi="Arial" w:cs="Arial"/>
          <w:lang w:eastAsia="zh-CN"/>
        </w:rPr>
        <w:t xml:space="preserve"> </w:t>
      </w:r>
      <w:r w:rsidR="00222C26" w:rsidRPr="009360C4">
        <w:rPr>
          <w:rFonts w:ascii="Arial" w:hAnsi="Arial" w:cs="Arial"/>
          <w:highlight w:val="yellow"/>
          <w:lang w:eastAsia="zh-CN"/>
        </w:rPr>
        <w:t xml:space="preserve">If an AF provides geographical </w:t>
      </w:r>
      <w:r w:rsidR="00E352F7" w:rsidRPr="009360C4">
        <w:rPr>
          <w:rFonts w:ascii="Arial" w:hAnsi="Arial" w:cs="Arial"/>
          <w:highlight w:val="yellow"/>
          <w:lang w:eastAsia="zh-CN"/>
        </w:rPr>
        <w:t xml:space="preserve">area, the NEF </w:t>
      </w:r>
      <w:r w:rsidR="00217A24" w:rsidRPr="009360C4">
        <w:rPr>
          <w:rFonts w:ascii="Arial" w:hAnsi="Arial" w:cs="Arial"/>
          <w:highlight w:val="yellow"/>
          <w:lang w:eastAsia="zh-CN"/>
        </w:rPr>
        <w:t xml:space="preserve">can </w:t>
      </w:r>
      <w:r w:rsidR="00E352F7" w:rsidRPr="009360C4">
        <w:rPr>
          <w:rFonts w:ascii="Arial" w:hAnsi="Arial" w:cs="Arial"/>
          <w:highlight w:val="yellow"/>
          <w:lang w:eastAsia="zh-CN"/>
        </w:rPr>
        <w:t xml:space="preserve">map it in to </w:t>
      </w:r>
      <w:r w:rsidR="00E352F7" w:rsidRPr="009360C4">
        <w:rPr>
          <w:rFonts w:ascii="Arial" w:hAnsi="Arial" w:cs="Arial"/>
          <w:highlight w:val="yellow"/>
        </w:rPr>
        <w:t xml:space="preserve">list of TAs or Cells based on operator policy in the related </w:t>
      </w:r>
      <w:r w:rsidR="00A86164" w:rsidRPr="009360C4">
        <w:rPr>
          <w:rFonts w:ascii="Arial" w:hAnsi="Arial" w:cs="Arial"/>
          <w:highlight w:val="yellow"/>
        </w:rPr>
        <w:t>procedures</w:t>
      </w:r>
      <w:r w:rsidR="00E352F7" w:rsidRPr="009360C4">
        <w:rPr>
          <w:rFonts w:ascii="Arial" w:hAnsi="Arial" w:cs="Arial"/>
          <w:highlight w:val="yellow"/>
        </w:rPr>
        <w:t xml:space="preserve"> </w:t>
      </w:r>
      <w:r w:rsidR="00A86164" w:rsidRPr="009360C4">
        <w:rPr>
          <w:rFonts w:ascii="Arial" w:hAnsi="Arial" w:cs="Arial"/>
          <w:highlight w:val="yellow"/>
        </w:rPr>
        <w:t>as mentioned above</w:t>
      </w:r>
      <w:r w:rsidR="00E352F7" w:rsidRPr="009360C4">
        <w:rPr>
          <w:rFonts w:ascii="Arial" w:hAnsi="Arial" w:cs="Arial"/>
          <w:highlight w:val="yellow"/>
        </w:rPr>
        <w:t>.</w:t>
      </w:r>
    </w:p>
    <w:p w14:paraId="048D21F2" w14:textId="77777777" w:rsidR="00B63CEC" w:rsidRDefault="00B63CEC">
      <w:pPr>
        <w:pStyle w:val="a3"/>
        <w:tabs>
          <w:tab w:val="clear" w:pos="4153"/>
          <w:tab w:val="clear" w:pos="8306"/>
        </w:tabs>
        <w:rPr>
          <w:rFonts w:ascii="Arial" w:hAnsi="Arial" w:cs="Arial"/>
          <w:lang w:eastAsia="zh-CN"/>
        </w:rPr>
      </w:pPr>
    </w:p>
    <w:p w14:paraId="355BE6E7" w14:textId="77777777" w:rsidR="00B63CEC" w:rsidRPr="00B63CEC" w:rsidRDefault="00B63CEC">
      <w:pPr>
        <w:pStyle w:val="a3"/>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a3"/>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2523A1EC" w14:textId="5C9E3A6F" w:rsidR="00463675" w:rsidRDefault="00463675">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891655" w:rsidRPr="009360C4">
        <w:rPr>
          <w:rFonts w:ascii="Arial" w:hAnsi="Arial" w:cs="Arial"/>
          <w:color w:val="000000"/>
          <w:highlight w:val="yellow"/>
        </w:rPr>
        <w:t>and SA</w:t>
      </w:r>
      <w:r w:rsidR="0092186A" w:rsidRPr="009360C4">
        <w:rPr>
          <w:rFonts w:ascii="Arial" w:hAnsi="Arial" w:cs="Arial"/>
          <w:color w:val="000000"/>
          <w:highlight w:val="yellow"/>
        </w:rPr>
        <w:t>3</w:t>
      </w:r>
      <w:r w:rsidR="00891655">
        <w:rPr>
          <w:rFonts w:ascii="Arial" w:hAnsi="Arial" w:cs="Arial"/>
          <w:color w:val="000000"/>
        </w:rPr>
        <w:t xml:space="preserve">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p>
    <w:p w14:paraId="5AF81AB1" w14:textId="77777777" w:rsidR="00891655" w:rsidRPr="00B63CEC" w:rsidRDefault="00891655">
      <w:pPr>
        <w:spacing w:after="120"/>
        <w:ind w:left="993" w:hanging="993"/>
        <w:rPr>
          <w:rFonts w:ascii="Arial" w:hAnsi="Arial" w:cs="Arial"/>
        </w:rPr>
      </w:pP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9E07F74" w14:textId="77777777"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61</w:t>
      </w:r>
      <w:r>
        <w:rPr>
          <w:rFonts w:ascii="Arial" w:hAnsi="Arial" w:cs="Arial"/>
          <w:bCs/>
        </w:rPr>
        <w:tab/>
      </w:r>
      <w:r>
        <w:rPr>
          <w:rFonts w:ascii="Arial" w:hAnsi="Arial" w:cs="Arial"/>
          <w:bCs/>
        </w:rPr>
        <w:tab/>
      </w:r>
      <w:r w:rsidR="00F8037B">
        <w:rPr>
          <w:rFonts w:ascii="Arial" w:hAnsi="Arial" w:cs="Arial"/>
          <w:bCs/>
        </w:rPr>
        <w:t>26</w:t>
      </w:r>
      <w:r w:rsidR="00F8037B" w:rsidRPr="00F8037B">
        <w:rPr>
          <w:rFonts w:ascii="Arial" w:hAnsi="Arial" w:cs="Arial"/>
          <w:bCs/>
          <w:vertAlign w:val="superscript"/>
        </w:rPr>
        <w:t>th</w:t>
      </w:r>
      <w:r w:rsidR="00F8037B">
        <w:rPr>
          <w:rFonts w:ascii="Arial" w:hAnsi="Arial" w:cs="Arial"/>
          <w:bCs/>
        </w:rPr>
        <w:t xml:space="preserve"> February – 1</w:t>
      </w:r>
      <w:r w:rsidR="00F8037B" w:rsidRPr="00F8037B">
        <w:rPr>
          <w:rFonts w:ascii="Arial" w:hAnsi="Arial" w:cs="Arial"/>
          <w:bCs/>
          <w:vertAlign w:val="superscript"/>
        </w:rPr>
        <w:t>st</w:t>
      </w:r>
      <w:r w:rsidR="00F8037B">
        <w:rPr>
          <w:rFonts w:ascii="Arial" w:hAnsi="Arial" w:cs="Arial"/>
          <w:bCs/>
        </w:rPr>
        <w:t xml:space="preserve"> March</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F8037B">
        <w:rPr>
          <w:rFonts w:ascii="Arial" w:hAnsi="Arial" w:cs="Arial"/>
          <w:bCs/>
        </w:rPr>
        <w:t>Athens, GR</w:t>
      </w:r>
    </w:p>
    <w:p w14:paraId="048643B6" w14:textId="77777777" w:rsidR="00463675" w:rsidRPr="000F4E43"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A90AB" w14:textId="77777777" w:rsidR="005F767C" w:rsidRDefault="005F767C">
      <w:r>
        <w:separator/>
      </w:r>
    </w:p>
  </w:endnote>
  <w:endnote w:type="continuationSeparator" w:id="0">
    <w:p w14:paraId="2778C075" w14:textId="77777777" w:rsidR="005F767C" w:rsidRDefault="005F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72C15" w14:textId="77777777" w:rsidR="005F767C" w:rsidRDefault="005F767C">
      <w:r>
        <w:separator/>
      </w:r>
    </w:p>
  </w:footnote>
  <w:footnote w:type="continuationSeparator" w:id="0">
    <w:p w14:paraId="2A668933" w14:textId="77777777" w:rsidR="005F767C" w:rsidRDefault="005F7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4B08"/>
    <w:rsid w:val="00586194"/>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F16FE"/>
    <w:rsid w:val="006F1B00"/>
    <w:rsid w:val="007173A8"/>
    <w:rsid w:val="00726FC3"/>
    <w:rsid w:val="00741C17"/>
    <w:rsid w:val="0074309D"/>
    <w:rsid w:val="00750CAD"/>
    <w:rsid w:val="00750FCB"/>
    <w:rsid w:val="00752AD3"/>
    <w:rsid w:val="0076677F"/>
    <w:rsid w:val="007A1FE0"/>
    <w:rsid w:val="007E2F26"/>
    <w:rsid w:val="007F3EE4"/>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62570"/>
    <w:rsid w:val="00F71E4B"/>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891655"/>
    <w:rPr>
      <w:lang w:val="en-GB" w:eastAsia="en-US"/>
    </w:rPr>
  </w:style>
  <w:style w:type="character" w:customStyle="1" w:styleId="B1Char1">
    <w:name w:val="B1 Char1"/>
    <w:basedOn w:val="a0"/>
    <w:link w:val="B1"/>
    <w:locked/>
    <w:rsid w:val="008916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2024-02-29T11:01:00Z</dcterms:created>
  <dcterms:modified xsi:type="dcterms:W3CDTF">2024-02-29T11:01:00Z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(3)kneFv9xcAW8FRBun/YB6tBjN/wBDNv6WHFSSR5VjskE2S8bzlW9Z6EuJPJSBQSffKJ4qEVkW
FYbzn6R5JOImMZwok3fXu/jUfH6Ull+LlC57emDI3UUQ1YAbHU1HJgRwlneKzAC3j9uQEYDF
08sAjIiwnnUROqe6DUdZ6JuwGhTsgNFls+UsqUDO9kR/OaIecQrKSUfHHOPi1lf//Cnf+bHH
hMHkvTtwd+W+4T7KFF</vt:lpwstr>
  </property>
  <property fmtid="{D5CDD505-2E9C-101B-9397-08002B2CF9AE}" pid="3" name="_2015_ms_pID_7253431">
    <vt:lpwstr>rIjiws+j02slB7ka82uMQjPP18In+y5zkChBoEU8zohlpzAigGhsaF
UM+gyuVD1bIxefSqOrlw12pxEpOFnoywKoiAePlAMFAw6KwieR9ub0uGnS2lgn9mMP1iee1d
5/vT5HYhanhahiHn9vZpkvpwxLSXcVsImIFI8ivqYNqACci/dOsm+7U9z7Nqq/nPiCigYRG5
L3Cme7224Gvkpqud686KVJ7QoXlR1m7lB2cd</vt:lpwstr>
  </property>
  <property fmtid="{D5CDD505-2E9C-101B-9397-08002B2CF9AE}" pid="4" name="_2015_ms_pID_7253432">
    <vt:lpwstr>mw3UieXTBToox3uraoqEfts=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